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乳源瑶族自治县</w:t>
      </w:r>
      <w:r>
        <w:rPr>
          <w:rFonts w:hint="eastAsia" w:ascii="方正小标宋简体" w:hAnsi="方正小标宋简体" w:eastAsia="方正小标宋简体" w:cs="方正小标宋简体"/>
          <w:b w:val="0"/>
          <w:bCs/>
          <w:sz w:val="44"/>
          <w:szCs w:val="44"/>
          <w:lang w:eastAsia="zh-CN"/>
        </w:rPr>
        <w:t>工业和信息化</w:t>
      </w:r>
      <w:r>
        <w:rPr>
          <w:rFonts w:hint="eastAsia" w:ascii="方正小标宋简体" w:hAnsi="方正小标宋简体" w:eastAsia="方正小标宋简体" w:cs="方正小标宋简体"/>
          <w:b w:val="0"/>
          <w:bCs/>
          <w:sz w:val="44"/>
          <w:szCs w:val="44"/>
        </w:rPr>
        <w:t>局招商引资</w:t>
      </w:r>
      <w:r>
        <w:rPr>
          <w:rFonts w:hint="eastAsia" w:ascii="方正小标宋简体" w:hAnsi="方正小标宋简体" w:eastAsia="方正小标宋简体" w:cs="方正小标宋简体"/>
          <w:b w:val="0"/>
          <w:bCs/>
          <w:sz w:val="44"/>
          <w:szCs w:val="44"/>
          <w:lang w:eastAsia="zh-CN"/>
        </w:rPr>
        <w:t>推进</w:t>
      </w:r>
      <w:r>
        <w:rPr>
          <w:rFonts w:hint="eastAsia" w:ascii="方正小标宋简体" w:hAnsi="方正小标宋简体" w:eastAsia="方正小标宋简体" w:cs="方正小标宋简体"/>
          <w:b w:val="0"/>
          <w:bCs/>
          <w:sz w:val="44"/>
          <w:szCs w:val="44"/>
        </w:rPr>
        <w:t>民营经济发展专项扶持资金</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绩效自评报告</w:t>
      </w:r>
    </w:p>
    <w:p>
      <w:pPr>
        <w:ind w:firstLine="1066" w:firstLineChars="295"/>
        <w:rPr>
          <w:rFonts w:ascii="宋体" w:hAnsi="宋体"/>
          <w:b/>
          <w:sz w:val="36"/>
          <w:szCs w:val="36"/>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right="0" w:rightChars="0" w:firstLine="643" w:firstLineChars="200"/>
        <w:jc w:val="both"/>
        <w:textAlignment w:val="auto"/>
        <w:outlineLvl w:val="9"/>
        <w:rPr>
          <w:rFonts w:hint="eastAsia" w:ascii="仿宋_GB2312" w:eastAsia="仿宋_GB2312"/>
          <w:b/>
          <w:bCs/>
          <w:sz w:val="32"/>
          <w:szCs w:val="32"/>
        </w:rPr>
      </w:pPr>
      <w:r>
        <w:rPr>
          <w:rFonts w:hint="eastAsia" w:ascii="仿宋_GB2312" w:eastAsia="仿宋_GB2312"/>
          <w:b/>
          <w:bCs/>
          <w:sz w:val="32"/>
          <w:szCs w:val="32"/>
          <w:lang w:eastAsia="zh-CN"/>
        </w:rPr>
        <w:t>一、</w:t>
      </w:r>
      <w:r>
        <w:rPr>
          <w:rFonts w:hint="eastAsia" w:ascii="仿宋_GB2312" w:eastAsia="仿宋_GB2312"/>
          <w:b/>
          <w:bCs/>
          <w:sz w:val="32"/>
          <w:szCs w:val="32"/>
        </w:rPr>
        <w:t>项目基本情况及自评结论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right="0" w:rightChars="0" w:firstLine="640" w:firstLineChars="200"/>
        <w:jc w:val="both"/>
        <w:textAlignment w:val="auto"/>
        <w:outlineLvl w:val="9"/>
        <w:rPr>
          <w:rFonts w:hint="eastAsia" w:ascii="仿宋_GB2312" w:eastAsia="仿宋_GB2312"/>
          <w:b w:val="0"/>
          <w:bCs w:val="0"/>
          <w:sz w:val="32"/>
          <w:szCs w:val="32"/>
        </w:rPr>
      </w:pPr>
      <w:r>
        <w:rPr>
          <w:rFonts w:hint="eastAsia" w:ascii="仿宋_GB2312" w:eastAsia="仿宋_GB2312"/>
          <w:b w:val="0"/>
          <w:bCs w:val="0"/>
          <w:sz w:val="32"/>
          <w:szCs w:val="32"/>
          <w:lang w:eastAsia="zh-CN"/>
        </w:rPr>
        <w:t>（一）</w:t>
      </w:r>
      <w:r>
        <w:rPr>
          <w:rFonts w:hint="eastAsia" w:ascii="仿宋_GB2312" w:eastAsia="仿宋_GB2312"/>
          <w:b w:val="0"/>
          <w:bCs w:val="0"/>
          <w:sz w:val="32"/>
          <w:szCs w:val="32"/>
        </w:rPr>
        <w:t>项目用款单位简要情况</w:t>
      </w:r>
    </w:p>
    <w:p>
      <w:pPr>
        <w:keepNext w:val="0"/>
        <w:keepLines w:val="0"/>
        <w:pageBreakBefore w:val="0"/>
        <w:widowControl w:val="0"/>
        <w:tabs>
          <w:tab w:val="left" w:pos="780"/>
        </w:tabs>
        <w:kinsoku/>
        <w:wordWrap/>
        <w:overflowPunct/>
        <w:topLinePunct w:val="0"/>
        <w:autoSpaceDE/>
        <w:autoSpaceDN/>
        <w:bidi w:val="0"/>
        <w:adjustRightInd/>
        <w:snapToGrid/>
        <w:spacing w:line="600" w:lineRule="exact"/>
        <w:ind w:right="0" w:rightChars="0" w:firstLine="480"/>
        <w:jc w:val="both"/>
        <w:textAlignment w:val="auto"/>
        <w:outlineLvl w:val="9"/>
        <w:rPr>
          <w:rFonts w:hint="eastAsia" w:ascii="仿宋_GB2312" w:eastAsia="仿宋_GB2312"/>
          <w:sz w:val="32"/>
          <w:szCs w:val="32"/>
        </w:rPr>
      </w:pPr>
      <w:r>
        <w:rPr>
          <w:rFonts w:hint="eastAsia" w:ascii="仿宋_GB2312" w:eastAsia="仿宋_GB2312"/>
          <w:sz w:val="32"/>
          <w:szCs w:val="32"/>
        </w:rPr>
        <w:t xml:space="preserve"> 乳源瑶族自治县工业和信息化局是政府工作部门，起草全县工业、信息化、科技、商务领域规范性文件;指导工业、信息化领域加强质量管理和安全生产工作;统筹推进全县科技创新体系建设和科技体制改革，牵头建立统一的县级科研项目资金协调、评估、监管机制;拟订本县招商引资、对外投资规划、计划并组织实施;负责整顿和规范市场经济秩序的相关协调工作;负责民用爆炸物品生产、销售环节安全的监督管理;负责推进国民经济和社会信息化工作，协调指导经济社会领域的信息化应用;承担促进数字经济和大数据产业的发展工作，负责中小企业和民营经济发展的宏观指导和服务等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right="0" w:rightChars="0" w:firstLine="640" w:firstLineChars="200"/>
        <w:jc w:val="both"/>
        <w:textAlignment w:val="auto"/>
        <w:outlineLvl w:val="9"/>
        <w:rPr>
          <w:rFonts w:hint="eastAsia" w:ascii="仿宋_GB2312" w:eastAsia="仿宋_GB2312"/>
          <w:b w:val="0"/>
          <w:bCs w:val="0"/>
          <w:sz w:val="32"/>
          <w:szCs w:val="32"/>
        </w:rPr>
      </w:pPr>
      <w:r>
        <w:rPr>
          <w:rFonts w:hint="eastAsia" w:ascii="仿宋_GB2312" w:eastAsia="仿宋_GB2312"/>
          <w:b w:val="0"/>
          <w:bCs w:val="0"/>
          <w:sz w:val="32"/>
          <w:szCs w:val="32"/>
          <w:lang w:eastAsia="zh-CN"/>
        </w:rPr>
        <w:t>（二）</w:t>
      </w:r>
      <w:r>
        <w:rPr>
          <w:rFonts w:hint="eastAsia" w:ascii="仿宋_GB2312" w:eastAsia="仿宋_GB2312"/>
          <w:b w:val="0"/>
          <w:bCs w:val="0"/>
          <w:sz w:val="32"/>
          <w:szCs w:val="32"/>
        </w:rPr>
        <w:t>项目实施主要内容及实施程序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仿宋_GB2312" w:eastAsia="仿宋_GB2312"/>
          <w:sz w:val="32"/>
          <w:szCs w:val="32"/>
          <w:lang w:val="en-US" w:eastAsia="zh-CN"/>
        </w:rPr>
      </w:pPr>
      <w:r>
        <w:rPr>
          <w:rFonts w:hint="eastAsia" w:ascii="仿宋_GB2312" w:hAnsi="Times New Roman" w:eastAsia="仿宋_GB2312" w:cs="Times New Roman"/>
          <w:color w:val="auto"/>
          <w:sz w:val="32"/>
          <w:szCs w:val="32"/>
          <w:lang w:eastAsia="zh-CN"/>
        </w:rPr>
        <w:t>该项目为奖励补贴类项目，用于支持我县</w:t>
      </w:r>
      <w:r>
        <w:rPr>
          <w:rFonts w:hint="eastAsia" w:ascii="仿宋_GB2312" w:hAnsi="Times New Roman" w:eastAsia="仿宋_GB2312" w:cs="Times New Roman"/>
          <w:color w:val="auto"/>
          <w:sz w:val="32"/>
          <w:szCs w:val="32"/>
          <w:lang w:val="en-US" w:eastAsia="zh-CN"/>
        </w:rPr>
        <w:t>实体经济发展、推动制造业高质量发展，</w:t>
      </w:r>
      <w:r>
        <w:rPr>
          <w:rFonts w:hint="eastAsia" w:ascii="仿宋_GB2312" w:eastAsia="仿宋_GB2312"/>
          <w:color w:val="auto"/>
          <w:sz w:val="32"/>
          <w:szCs w:val="32"/>
          <w:lang w:eastAsia="zh-CN"/>
        </w:rPr>
        <w:t>对我县经济发展做出较大贡献的企业给于扶持奖励，同时</w:t>
      </w:r>
      <w:r>
        <w:rPr>
          <w:rFonts w:hint="eastAsia" w:ascii="仿宋_GB2312" w:eastAsia="仿宋_GB2312"/>
          <w:sz w:val="32"/>
          <w:szCs w:val="32"/>
          <w:lang w:val="en-US" w:eastAsia="zh-CN"/>
        </w:rPr>
        <w:t>借助少数民族税收优惠政策的优势，</w:t>
      </w:r>
      <w:r>
        <w:rPr>
          <w:rFonts w:hint="eastAsia" w:ascii="仿宋_GB2312" w:eastAsia="仿宋_GB2312"/>
          <w:sz w:val="32"/>
          <w:szCs w:val="32"/>
          <w:lang w:eastAsia="zh-CN"/>
        </w:rPr>
        <w:t>大力提升服务企业质量，积极抓好培扶企业，扶持企业做大做强，</w:t>
      </w:r>
      <w:r>
        <w:rPr>
          <w:rFonts w:hint="eastAsia" w:ascii="仿宋_GB2312" w:eastAsia="仿宋_GB2312"/>
          <w:sz w:val="32"/>
          <w:szCs w:val="32"/>
        </w:rPr>
        <w:t>促进全县</w:t>
      </w:r>
      <w:r>
        <w:rPr>
          <w:rFonts w:hint="eastAsia" w:ascii="仿宋_GB2312" w:eastAsia="仿宋_GB2312"/>
          <w:sz w:val="32"/>
          <w:szCs w:val="32"/>
          <w:lang w:eastAsia="zh-CN"/>
        </w:rPr>
        <w:t>科技、</w:t>
      </w:r>
      <w:r>
        <w:rPr>
          <w:rFonts w:hint="eastAsia" w:ascii="仿宋_GB2312" w:eastAsia="仿宋_GB2312"/>
          <w:sz w:val="32"/>
          <w:szCs w:val="32"/>
        </w:rPr>
        <w:t>工业</w:t>
      </w:r>
      <w:r>
        <w:rPr>
          <w:rFonts w:hint="eastAsia" w:ascii="仿宋_GB2312" w:eastAsia="仿宋_GB2312"/>
          <w:sz w:val="32"/>
          <w:szCs w:val="32"/>
          <w:lang w:eastAsia="zh-CN"/>
        </w:rPr>
        <w:t>、商贸、服务等</w:t>
      </w:r>
      <w:r>
        <w:rPr>
          <w:rFonts w:hint="eastAsia" w:ascii="仿宋_GB2312" w:eastAsia="仿宋_GB2312"/>
          <w:sz w:val="32"/>
          <w:szCs w:val="32"/>
        </w:rPr>
        <w:t>经济</w:t>
      </w:r>
      <w:r>
        <w:rPr>
          <w:rFonts w:hint="eastAsia" w:ascii="仿宋_GB2312" w:eastAsia="仿宋_GB2312"/>
          <w:sz w:val="32"/>
          <w:szCs w:val="32"/>
          <w:lang w:eastAsia="zh-CN"/>
        </w:rPr>
        <w:t>体</w:t>
      </w:r>
      <w:r>
        <w:rPr>
          <w:rFonts w:hint="eastAsia" w:ascii="仿宋_GB2312" w:eastAsia="仿宋_GB2312"/>
          <w:sz w:val="32"/>
          <w:szCs w:val="32"/>
        </w:rPr>
        <w:t>加快转型</w:t>
      </w:r>
      <w:r>
        <w:rPr>
          <w:rFonts w:hint="eastAsia" w:ascii="仿宋_GB2312" w:eastAsia="仿宋_GB2312"/>
          <w:sz w:val="32"/>
          <w:szCs w:val="32"/>
          <w:lang w:eastAsia="zh-CN"/>
        </w:rPr>
        <w:t>升级，实现高质量发展</w:t>
      </w:r>
      <w:r>
        <w:rPr>
          <w:rFonts w:hint="eastAsia" w:ascii="仿宋_GB2312" w:eastAsia="仿宋_GB2312"/>
          <w:sz w:val="32"/>
          <w:szCs w:val="32"/>
        </w:rPr>
        <w:t>。</w:t>
      </w:r>
      <w:r>
        <w:rPr>
          <w:rFonts w:hint="eastAsia" w:ascii="仿宋_GB2312" w:eastAsia="仿宋_GB2312"/>
          <w:sz w:val="32"/>
          <w:szCs w:val="32"/>
          <w:lang w:eastAsia="zh-CN"/>
        </w:rPr>
        <w:t>联动湾区</w:t>
      </w:r>
      <w:r>
        <w:rPr>
          <w:rFonts w:hint="eastAsia" w:ascii="仿宋_GB2312" w:eastAsia="仿宋_GB2312"/>
          <w:sz w:val="32"/>
          <w:szCs w:val="32"/>
          <w:lang w:val="en-US" w:eastAsia="zh-CN"/>
        </w:rPr>
        <w:t>.智造乳源—60周年系列活动之推动制造业高质量发展产业对接会，旨在对接湾区资源，搭建合作平台，打通产品销售渠道并补链延链强链。小巨人主要内容：获得国家专精特新小巨人企业认定，奖励200万元。</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b w:val="0"/>
          <w:bCs w:val="0"/>
          <w:sz w:val="32"/>
          <w:szCs w:val="32"/>
          <w:lang w:val="en-US" w:eastAsia="zh-CN"/>
        </w:rPr>
      </w:pPr>
      <w:r>
        <w:rPr>
          <w:rFonts w:hint="eastAsia" w:ascii="仿宋_GB2312" w:eastAsia="仿宋_GB2312"/>
          <w:sz w:val="32"/>
          <w:szCs w:val="32"/>
        </w:rPr>
        <w:t>实施程序为根据乳财[2023]4号《2023年部门预算批复》</w:t>
      </w:r>
      <w:r>
        <w:rPr>
          <w:rFonts w:hint="eastAsia" w:ascii="仿宋_GB2312" w:eastAsia="仿宋_GB2312"/>
          <w:sz w:val="32"/>
          <w:szCs w:val="32"/>
          <w:lang w:eastAsia="zh-CN"/>
        </w:rPr>
        <w:t>文件，</w:t>
      </w:r>
      <w:r>
        <w:rPr>
          <w:rFonts w:hint="eastAsia" w:ascii="仿宋_GB2312" w:eastAsia="仿宋_GB2312"/>
          <w:sz w:val="32"/>
          <w:szCs w:val="32"/>
        </w:rPr>
        <w:t>将符合条件的项目提交班子会议谈论，按文件要求确定扶持资金及税收奖励，确定最终项目和资金分配，再起草请示报告到县政府，由县政府同意实施后报财政局核拨经费。</w:t>
      </w:r>
      <w:r>
        <w:rPr>
          <w:rFonts w:hint="eastAsia" w:ascii="仿宋_GB2312" w:eastAsia="仿宋_GB2312"/>
          <w:b w:val="0"/>
          <w:bCs w:val="0"/>
          <w:sz w:val="32"/>
          <w:szCs w:val="32"/>
        </w:rPr>
        <w:t>2023年</w:t>
      </w:r>
      <w:r>
        <w:rPr>
          <w:rFonts w:hint="eastAsia" w:ascii="仿宋_GB2312" w:eastAsia="仿宋_GB2312"/>
          <w:b/>
          <w:bCs/>
          <w:sz w:val="32"/>
          <w:szCs w:val="32"/>
        </w:rPr>
        <w:t>科技计划项目</w:t>
      </w:r>
      <w:r>
        <w:rPr>
          <w:rFonts w:hint="eastAsia" w:ascii="仿宋_GB2312" w:eastAsia="仿宋_GB2312"/>
          <w:sz w:val="32"/>
          <w:szCs w:val="32"/>
        </w:rPr>
        <w:t>（高新技术培育方向）</w:t>
      </w:r>
      <w:r>
        <w:rPr>
          <w:rFonts w:hint="eastAsia" w:ascii="仿宋_GB2312" w:eastAsia="仿宋_GB2312"/>
          <w:sz w:val="32"/>
          <w:szCs w:val="32"/>
          <w:lang w:eastAsia="zh-CN"/>
        </w:rPr>
        <w:t>增量部分，</w:t>
      </w:r>
      <w:r>
        <w:rPr>
          <w:rFonts w:hint="eastAsia" w:ascii="仿宋_GB2312" w:eastAsia="仿宋_GB2312"/>
          <w:b/>
          <w:bCs/>
          <w:sz w:val="32"/>
          <w:szCs w:val="32"/>
          <w:lang w:eastAsia="zh-CN"/>
        </w:rPr>
        <w:t>实施程序：</w:t>
      </w:r>
      <w:r>
        <w:rPr>
          <w:rFonts w:hint="eastAsia" w:ascii="仿宋_GB2312" w:eastAsia="仿宋_GB2312"/>
          <w:sz w:val="32"/>
          <w:szCs w:val="32"/>
          <w:lang w:eastAsia="zh-CN"/>
        </w:rPr>
        <w:t>根据韶科[2022]80号，韶关市科学技术局关于下达2022年韶关市科技计划项目（高新技术企业培育方向奖补资金的通知），按照（韶科〔2021〕6号）韶关市科学技术局关于印发《韶关市加快培育高新技术企业扶持办法》的通知内容确定高新技术企业增量部分奖补名单和增量资金分配，依据韶科[2022]80号文件中的企业名单提交局班子会集体讨论，</w:t>
      </w:r>
      <w:r>
        <w:rPr>
          <w:rFonts w:hint="eastAsia" w:ascii="仿宋_GB2312" w:eastAsia="仿宋_GB2312"/>
          <w:sz w:val="32"/>
          <w:szCs w:val="32"/>
        </w:rPr>
        <w:t>再起草请示报告到县政府，由县政府同意实施后报财政局核拨经费。</w:t>
      </w:r>
      <w:r>
        <w:rPr>
          <w:rFonts w:hint="eastAsia" w:ascii="仿宋_GB2312" w:eastAsia="仿宋_GB2312"/>
          <w:b/>
          <w:bCs/>
          <w:sz w:val="32"/>
          <w:szCs w:val="32"/>
          <w:lang w:eastAsia="zh-CN"/>
        </w:rPr>
        <w:t>十条措施实施程序：</w:t>
      </w:r>
      <w:r>
        <w:rPr>
          <w:rFonts w:hint="eastAsia" w:ascii="仿宋_GB2312" w:eastAsia="仿宋_GB2312"/>
          <w:b w:val="0"/>
          <w:bCs w:val="0"/>
          <w:sz w:val="32"/>
          <w:szCs w:val="32"/>
          <w:lang w:eastAsia="zh-CN"/>
        </w:rPr>
        <w:t>由单位发文件到各部门收集企业情况，筛选符合申报条件的企业名单及计算出扶持资金，发征求意见稿到各相关部门，经各相关部门确认无误后，再起草请示文件至县政府，经过县政府常务会议批复后，再按程序申请拨付经费。</w:t>
      </w:r>
      <w:r>
        <w:rPr>
          <w:rFonts w:hint="eastAsia" w:ascii="仿宋_GB2312" w:eastAsia="仿宋_GB2312"/>
          <w:b/>
          <w:bCs/>
          <w:sz w:val="32"/>
          <w:szCs w:val="32"/>
          <w:lang w:eastAsia="zh-CN"/>
        </w:rPr>
        <w:t>“小巨人”实施程序：</w:t>
      </w:r>
      <w:bookmarkStart w:id="0" w:name="_GoBack"/>
      <w:r>
        <w:rPr>
          <w:rFonts w:hint="eastAsia" w:ascii="仿宋_GB2312" w:eastAsia="仿宋_GB2312"/>
          <w:b w:val="0"/>
          <w:bCs w:val="0"/>
          <w:sz w:val="32"/>
          <w:szCs w:val="32"/>
          <w:lang w:eastAsia="zh-CN"/>
        </w:rPr>
        <w:t>我局起草《关于列入县政府常务会议议题的请示》乳工信请〔2023〕7号文，请示县政府常务会议根据“一事一议”原则，为获我县首家专精特新“小巨人”企业给予200万元奖励，奖励资金建议从2022年预算安排的“招商引资和推进民营经济发展专项扶持资金”中支付。后经县政府十三届政府第24次常务会议同意，于2023年3 月支付了200万元奖励资金到硕成公司。</w:t>
      </w:r>
    </w:p>
    <w:bookmarkEnd w:id="0"/>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b w:val="0"/>
          <w:bCs w:val="0"/>
          <w:sz w:val="32"/>
          <w:szCs w:val="32"/>
        </w:rPr>
      </w:pPr>
      <w:r>
        <w:rPr>
          <w:rFonts w:hint="eastAsia" w:ascii="仿宋_GB2312" w:eastAsia="仿宋_GB2312"/>
          <w:b w:val="0"/>
          <w:bCs w:val="0"/>
          <w:sz w:val="32"/>
          <w:szCs w:val="32"/>
          <w:lang w:eastAsia="zh-CN"/>
        </w:rPr>
        <w:t>（三）</w:t>
      </w:r>
      <w:r>
        <w:rPr>
          <w:rFonts w:hint="eastAsia" w:ascii="仿宋_GB2312" w:eastAsia="仿宋_GB2312"/>
          <w:b w:val="0"/>
          <w:bCs w:val="0"/>
          <w:sz w:val="32"/>
          <w:szCs w:val="32"/>
        </w:rPr>
        <w:t>项目目标</w:t>
      </w:r>
    </w:p>
    <w:p>
      <w:pPr>
        <w:spacing w:beforeLines="0" w:afterLines="0"/>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rPr>
        <w:t xml:space="preserve"> 该项目在20</w:t>
      </w:r>
      <w:r>
        <w:rPr>
          <w:rFonts w:hint="eastAsia" w:ascii="仿宋_GB2312" w:eastAsia="仿宋_GB2312"/>
          <w:sz w:val="32"/>
          <w:szCs w:val="32"/>
          <w:lang w:val="en-US" w:eastAsia="zh-CN"/>
        </w:rPr>
        <w:t>23</w:t>
      </w:r>
      <w:r>
        <w:rPr>
          <w:rFonts w:hint="eastAsia" w:ascii="仿宋_GB2312" w:eastAsia="仿宋_GB2312"/>
          <w:sz w:val="32"/>
          <w:szCs w:val="32"/>
        </w:rPr>
        <w:t>年目标任务是</w:t>
      </w:r>
      <w:r>
        <w:rPr>
          <w:rFonts w:hint="eastAsia" w:ascii="仿宋_GB2312" w:eastAsia="仿宋_GB2312"/>
          <w:sz w:val="32"/>
          <w:szCs w:val="32"/>
          <w:lang w:val="en-US" w:eastAsia="zh-CN"/>
        </w:rPr>
        <w:t>:1.乳源瑶族自治县推动制造业高质量发展政策措施十条（试行）政策奖补资金（25家次）2.联动湾区.智造乳源推动制造业高质量发展产业签约企业6家3</w:t>
      </w:r>
      <w:r>
        <w:rPr>
          <w:rFonts w:hint="eastAsia" w:ascii="仿宋_GB2312" w:eastAsia="仿宋_GB2312"/>
          <w:sz w:val="32"/>
          <w:szCs w:val="32"/>
          <w:lang w:eastAsia="zh-CN"/>
        </w:rPr>
        <w:t>.东鹏饮料营销（广东）有限公司2023年1-3月财政扶持奖励资金（1家）实现销售额达8.5亿元，地方税收贡献491.6892万元。</w:t>
      </w:r>
      <w:r>
        <w:rPr>
          <w:rFonts w:hint="eastAsia" w:ascii="仿宋_GB2312" w:eastAsia="仿宋_GB2312"/>
          <w:sz w:val="32"/>
          <w:szCs w:val="32"/>
          <w:lang w:val="en-US" w:eastAsia="zh-CN"/>
        </w:rPr>
        <w:t>4</w:t>
      </w:r>
      <w:r>
        <w:rPr>
          <w:rFonts w:hint="eastAsia" w:ascii="仿宋_GB2312" w:eastAsia="仿宋_GB2312"/>
          <w:sz w:val="32"/>
          <w:szCs w:val="32"/>
          <w:lang w:eastAsia="zh-CN"/>
        </w:rPr>
        <w:t xml:space="preserve">.东鹏饮料营销（广东）有限公司2023年4-6月财政扶持奖励资金（1家）实现销售额达20亿元，地方税收贡献1069.9499万元。 </w:t>
      </w:r>
      <w:r>
        <w:rPr>
          <w:rFonts w:hint="eastAsia" w:ascii="仿宋_GB2312" w:eastAsia="仿宋_GB2312"/>
          <w:sz w:val="32"/>
          <w:szCs w:val="32"/>
          <w:lang w:val="en-US" w:eastAsia="zh-CN"/>
        </w:rPr>
        <w:t>5</w:t>
      </w:r>
      <w:r>
        <w:rPr>
          <w:rFonts w:hint="eastAsia" w:ascii="仿宋_GB2312" w:eastAsia="仿宋_GB2312"/>
          <w:sz w:val="32"/>
          <w:szCs w:val="32"/>
          <w:lang w:eastAsia="zh-CN"/>
        </w:rPr>
        <w:t>.乳源瑶族自治县辉祺企业管理有限公司引荐的韶关市广裕服务有限公司（1家） 2021年在乳源产生地方贡献 2293476.6 元。</w:t>
      </w:r>
      <w:r>
        <w:rPr>
          <w:rFonts w:hint="eastAsia" w:ascii="仿宋_GB2312" w:eastAsia="仿宋_GB2312"/>
          <w:sz w:val="32"/>
          <w:szCs w:val="32"/>
          <w:lang w:val="en-US" w:eastAsia="zh-CN"/>
        </w:rPr>
        <w:t>6</w:t>
      </w:r>
      <w:r>
        <w:rPr>
          <w:rFonts w:hint="eastAsia" w:ascii="仿宋_GB2312" w:eastAsia="仿宋_GB2312"/>
          <w:sz w:val="32"/>
          <w:szCs w:val="32"/>
          <w:lang w:eastAsia="zh-CN"/>
        </w:rPr>
        <w:t>.广东欧珀与维沃通信旗下代理公司2022年4-6月财政扶持资金（尾款）（18家）县级财政1907万元，全县县级收入9709万元</w:t>
      </w:r>
      <w:r>
        <w:rPr>
          <w:rFonts w:hint="eastAsia" w:ascii="仿宋_GB2312" w:eastAsia="仿宋_GB2312"/>
          <w:sz w:val="32"/>
          <w:szCs w:val="32"/>
          <w:lang w:val="en-US" w:eastAsia="zh-CN"/>
        </w:rPr>
        <w:t>,7.引导中小企业走专精特新发展之路，推动1家企业获得国家第三批专精特新小巨人企业认定, 8.完成高新技术企业申报认定9家。</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lang w:eastAsia="zh-CN"/>
        </w:rPr>
        <w:t>（四）</w:t>
      </w:r>
      <w:r>
        <w:rPr>
          <w:rFonts w:hint="eastAsia" w:ascii="仿宋_GB2312" w:eastAsia="仿宋_GB2312"/>
          <w:sz w:val="32"/>
          <w:szCs w:val="32"/>
          <w:lang w:val="en-US" w:eastAsia="zh-CN"/>
        </w:rPr>
        <w:t>综</w:t>
      </w:r>
      <w:r>
        <w:rPr>
          <w:rFonts w:hint="eastAsia" w:ascii="仿宋_GB2312" w:eastAsia="仿宋_GB2312"/>
          <w:sz w:val="32"/>
          <w:szCs w:val="32"/>
          <w:lang w:eastAsia="zh-CN"/>
        </w:rPr>
        <w:t>述项目自评等级和分数，并对照佐证材料逐一分析。</w:t>
      </w:r>
      <w:r>
        <w:rPr>
          <w:rFonts w:hint="eastAsia" w:ascii="仿宋_GB2312" w:eastAsia="仿宋_GB2312"/>
          <w:sz w:val="32"/>
          <w:szCs w:val="32"/>
          <w:highlight w:val="none"/>
          <w:lang w:val="en-US" w:eastAsia="zh-CN"/>
        </w:rPr>
        <w:t>支出率100%，自评100分。</w:t>
      </w:r>
    </w:p>
    <w:p>
      <w:pPr>
        <w:numPr>
          <w:ilvl w:val="0"/>
          <w:numId w:val="0"/>
        </w:numPr>
        <w:spacing w:line="360" w:lineRule="auto"/>
        <w:ind w:firstLine="640" w:firstLineChars="200"/>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lang w:eastAsia="zh-CN"/>
        </w:rPr>
        <w:t>该项目根据《乳源瑶族自治县人民政府办公室关于印发乳源瑶族自治县关于进一步优化投资营商环境促进经济高质量发展的行动措施的通知》、</w:t>
      </w:r>
      <w:r>
        <w:rPr>
          <w:rFonts w:hint="eastAsia" w:ascii="仿宋_GB2312" w:eastAsia="仿宋_GB2312"/>
          <w:color w:val="auto"/>
          <w:sz w:val="32"/>
          <w:szCs w:val="32"/>
          <w:lang w:val="en-US" w:eastAsia="zh-CN"/>
        </w:rPr>
        <w:t>《乳源瑶族自治县人民政府办公室关于印发乳源瑶族自治县推动制造业高质量发展政策措施十条（试行）的通知》，《</w:t>
      </w:r>
      <w:r>
        <w:rPr>
          <w:rFonts w:hint="eastAsia" w:ascii="仿宋_GB2312" w:hAnsi="仿宋_GB2312" w:eastAsia="仿宋_GB2312" w:cs="仿宋_GB2312"/>
          <w:sz w:val="32"/>
          <w:szCs w:val="32"/>
          <w:lang w:val="en-US" w:eastAsia="zh-CN"/>
        </w:rPr>
        <w:t>县人民政府与东鹏饮料（集团）股份有限公司签订关于与东鹏饮料（集团）股份有限公司的合作协议</w:t>
      </w:r>
      <w:r>
        <w:rPr>
          <w:rFonts w:hint="eastAsia" w:ascii="仿宋_GB2312" w:eastAsia="仿宋_GB2312"/>
          <w:color w:val="auto"/>
          <w:sz w:val="32"/>
          <w:szCs w:val="32"/>
          <w:lang w:val="en-US" w:eastAsia="zh-CN"/>
        </w:rPr>
        <w:t>》、</w:t>
      </w:r>
      <w:r>
        <w:rPr>
          <w:rFonts w:hint="eastAsia" w:ascii="仿宋_GB2312" w:eastAsia="仿宋_GB2312"/>
          <w:sz w:val="32"/>
          <w:szCs w:val="32"/>
          <w:lang w:eastAsia="zh-CN"/>
        </w:rPr>
        <w:t>韶科[2022]80号，韶关市科学技术局关于下达2022年韶关市科技计划项目（高新技术企业培育方向奖补资金的通知），（韶科〔2021〕6号）韶关市科学技术局关于印发《韶关市加快培育高新技术企业扶持办法》的通知</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为立项依据</w:t>
      </w:r>
      <w:r>
        <w:rPr>
          <w:rFonts w:hint="eastAsia" w:ascii="仿宋_GB2312" w:eastAsia="仿宋_GB2312"/>
          <w:color w:val="auto"/>
          <w:sz w:val="32"/>
          <w:szCs w:val="32"/>
          <w:lang w:val="en-US" w:eastAsia="zh-CN"/>
        </w:rPr>
        <w:t>,</w:t>
      </w:r>
      <w:r>
        <w:rPr>
          <w:rFonts w:hint="eastAsia" w:ascii="仿宋_GB2312" w:eastAsia="仿宋_GB2312"/>
          <w:sz w:val="32"/>
          <w:szCs w:val="32"/>
          <w:highlight w:val="none"/>
          <w:lang w:val="en-US" w:eastAsia="zh-CN"/>
        </w:rPr>
        <w:t>具有论证决策充分；目标设置完整、合理、可衡量性；</w:t>
      </w:r>
      <w:r>
        <w:rPr>
          <w:rFonts w:hint="eastAsia" w:ascii="仿宋_GB2312" w:hAnsi="仿宋_GB2312" w:eastAsia="仿宋_GB2312" w:cs="仿宋_GB2312"/>
          <w:color w:val="auto"/>
          <w:sz w:val="32"/>
          <w:szCs w:val="32"/>
          <w:highlight w:val="none"/>
          <w:lang w:val="en-US" w:eastAsia="zh-CN"/>
        </w:rPr>
        <w:t>奖补协议条款，并征求有关部门意见后，提请经费请示至</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县政府常务会集体讨论批复，再实施奖补，</w:t>
      </w:r>
      <w:r>
        <w:rPr>
          <w:rFonts w:hint="eastAsia" w:ascii="仿宋_GB2312" w:eastAsia="仿宋_GB2312"/>
          <w:sz w:val="32"/>
          <w:szCs w:val="32"/>
          <w:highlight w:val="none"/>
          <w:lang w:val="en-US" w:eastAsia="zh-CN"/>
        </w:rPr>
        <w:t>资金及落实管理到位；事项管理规范等、认证决策目标设置</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自评得分10分，。</w:t>
      </w:r>
    </w:p>
    <w:p>
      <w:pPr>
        <w:spacing w:beforeLines="0" w:afterLines="0"/>
        <w:ind w:firstLine="640" w:firstLineChars="200"/>
        <w:jc w:val="both"/>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2、填报绩效目标申报，根据实际合理设置绩效指标，依据有关程序核批，完成项目库申报。保障措施得分2分。</w:t>
      </w:r>
    </w:p>
    <w:p>
      <w:pPr>
        <w:spacing w:beforeLines="0" w:afterLines="0"/>
        <w:ind w:firstLine="640" w:firstLineChars="200"/>
        <w:jc w:val="both"/>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3、根据</w:t>
      </w:r>
      <w:r>
        <w:rPr>
          <w:rFonts w:hint="eastAsia" w:ascii="仿宋_GB2312" w:hAnsi="宋体" w:eastAsia="仿宋_GB2312" w:cs="仿宋_GB2312"/>
          <w:color w:val="000000"/>
          <w:kern w:val="0"/>
          <w:sz w:val="31"/>
          <w:szCs w:val="31"/>
          <w:lang w:val="en-US" w:eastAsia="zh-CN" w:bidi="ar"/>
        </w:rPr>
        <w:t>乳财[2023]4号《2023年部门预算批复》</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县政府批复及支出进度承诺表，将符合条件的项目提交班子会议谈论，按文件要求确定扶持资金及税收奖励，确定最终项目和资金分配，再起草请示报告到县政府，由县政府同意实施后报财政局核拨经费,再按程序支付。推进民营经济发展专项扶持2000万元，实际支付2000万元，资金落实自评得分14分，资金管理自评得分6分。</w:t>
      </w:r>
    </w:p>
    <w:p>
      <w:pPr>
        <w:spacing w:beforeLines="0" w:afterLines="0"/>
        <w:ind w:firstLine="640" w:firstLineChars="200"/>
        <w:jc w:val="both"/>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4、扶持资金项目无需验收，根据</w:t>
      </w:r>
      <w:r>
        <w:rPr>
          <w:rFonts w:hint="eastAsia" w:ascii="仿宋_GB2312" w:hAnsi="仿宋_GB2312" w:eastAsia="仿宋_GB2312" w:cs="仿宋_GB2312"/>
          <w:color w:val="auto"/>
          <w:sz w:val="32"/>
          <w:szCs w:val="32"/>
          <w:highlight w:val="none"/>
          <w:lang w:val="en-US" w:eastAsia="zh-CN"/>
        </w:rPr>
        <w:t>奖补协议条款和政策条款，并征求有关部门意见后，提请经费请示至</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县政府常务会集体讨论批复，再实施奖补，资金支付及时，事项管理自评得分8分。</w:t>
      </w:r>
    </w:p>
    <w:p>
      <w:pPr>
        <w:spacing w:beforeLines="0" w:afterLines="0"/>
        <w:ind w:firstLine="640" w:firstLineChars="200"/>
        <w:jc w:val="both"/>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5、根据年初预算批复与支出进度承诺，项目资金未超预算支出。经济性自评得分5分。</w:t>
      </w:r>
    </w:p>
    <w:p>
      <w:pPr>
        <w:spacing w:beforeLines="0" w:afterLines="0"/>
        <w:ind w:firstLine="640" w:firstLineChars="200"/>
        <w:jc w:val="both"/>
        <w:rPr>
          <w:rFonts w:hint="default" w:ascii="仿宋_GB2312" w:eastAsia="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项目完成后，制造业十条措施中25家企业2022年完成工业产值74亿元，提供就业岗位5150人；“小巨人”企业2022年主营业务收入总额占营业收入总额比重高达70%；东鹏饮料营销（广东）有限公司据统计，截止2023年12月份，销售额达40.5亿元，</w:t>
      </w:r>
      <w:r>
        <w:rPr>
          <w:rFonts w:hint="eastAsia" w:ascii="仿宋_GB2312" w:hAnsi="仿宋_GB2312" w:eastAsia="仿宋_GB2312" w:cs="仿宋_GB2312"/>
          <w:color w:val="auto"/>
          <w:sz w:val="32"/>
          <w:szCs w:val="32"/>
          <w:highlight w:val="none"/>
        </w:rPr>
        <w:t>财政税收</w:t>
      </w:r>
      <w:r>
        <w:rPr>
          <w:rFonts w:hint="eastAsia" w:ascii="仿宋_GB2312" w:hAnsi="仿宋_GB2312" w:eastAsia="仿宋_GB2312" w:cs="仿宋_GB2312"/>
          <w:color w:val="auto"/>
          <w:sz w:val="32"/>
          <w:szCs w:val="32"/>
          <w:highlight w:val="none"/>
          <w:lang w:val="en-US" w:eastAsia="zh-CN"/>
        </w:rPr>
        <w:t>1.99亿</w:t>
      </w:r>
      <w:r>
        <w:rPr>
          <w:rFonts w:hint="eastAsia" w:ascii="仿宋_GB2312" w:hAnsi="仿宋_GB2312" w:eastAsia="仿宋_GB2312" w:cs="仿宋_GB2312"/>
          <w:color w:val="auto"/>
          <w:sz w:val="32"/>
          <w:szCs w:val="32"/>
          <w:highlight w:val="none"/>
        </w:rPr>
        <w:t>（其中乳源地方贡献部分合计</w:t>
      </w:r>
      <w:r>
        <w:rPr>
          <w:rFonts w:hint="eastAsia" w:ascii="仿宋_GB2312" w:hAnsi="仿宋_GB2312" w:eastAsia="仿宋_GB2312" w:cs="仿宋_GB2312"/>
          <w:color w:val="auto"/>
          <w:sz w:val="32"/>
          <w:szCs w:val="32"/>
          <w:highlight w:val="none"/>
          <w:lang w:val="en-US" w:eastAsia="zh-CN"/>
        </w:rPr>
        <w:t>3375.0989</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；步步高各代理商贸易公司自</w:t>
      </w:r>
      <w:r>
        <w:rPr>
          <w:rFonts w:hint="eastAsia" w:ascii="仿宋_GB2312" w:hAnsi="仿宋_GB2312" w:eastAsia="仿宋_GB2312" w:cs="仿宋_GB2312"/>
          <w:color w:val="auto"/>
          <w:sz w:val="32"/>
          <w:szCs w:val="32"/>
          <w:highlight w:val="none"/>
          <w:lang w:val="en-US" w:eastAsia="zh-CN"/>
        </w:rPr>
        <w:t>2022年4月1日至6月30日，县级收入1907万，全县二季度县级收入9709万，广东欧珀和维沃通信旗下代理公司约占19.6%；</w:t>
      </w:r>
      <w:r>
        <w:rPr>
          <w:rFonts w:hint="eastAsia" w:ascii="仿宋_GB2312" w:hAnsi="仿宋_GB2312" w:eastAsia="仿宋_GB2312" w:cs="仿宋_GB2312"/>
          <w:color w:val="auto"/>
          <w:sz w:val="32"/>
          <w:szCs w:val="32"/>
          <w:highlight w:val="none"/>
        </w:rPr>
        <w:t>为充分发挥财政扶持资金的引领作用，切实达到惠企暖企的效果</w:t>
      </w:r>
      <w:r>
        <w:rPr>
          <w:rFonts w:hint="eastAsia" w:ascii="仿宋_GB2312" w:hAnsi="仿宋_GB2312" w:eastAsia="仿宋_GB2312" w:cs="仿宋_GB2312"/>
          <w:color w:val="auto"/>
          <w:sz w:val="32"/>
          <w:szCs w:val="32"/>
          <w:highlight w:val="none"/>
          <w:lang w:eastAsia="zh-CN"/>
        </w:rPr>
        <w:t>。</w:t>
      </w:r>
      <w:r>
        <w:rPr>
          <w:rFonts w:hint="eastAsia" w:ascii="仿宋_GB2312" w:eastAsia="仿宋_GB2312"/>
          <w:color w:val="auto"/>
          <w:sz w:val="32"/>
          <w:szCs w:val="32"/>
          <w:highlight w:val="none"/>
          <w:lang w:val="en-US" w:eastAsia="zh-CN"/>
        </w:rPr>
        <w:t>事项管理规范等。效益性得分25分，效果性得分5分。</w:t>
      </w:r>
    </w:p>
    <w:p>
      <w:pPr>
        <w:keepNext w:val="0"/>
        <w:keepLines w:val="0"/>
        <w:pageBreakBefore w:val="0"/>
        <w:widowControl w:val="0"/>
        <w:numPr>
          <w:ilvl w:val="0"/>
          <w:numId w:val="0"/>
        </w:numPr>
        <w:tabs>
          <w:tab w:val="left" w:pos="780"/>
        </w:tabs>
        <w:kinsoku/>
        <w:wordWrap/>
        <w:overflowPunct/>
        <w:topLinePunct w:val="0"/>
        <w:autoSpaceDE/>
        <w:autoSpaceDN/>
        <w:bidi w:val="0"/>
        <w:adjustRightInd/>
        <w:snapToGrid/>
        <w:spacing w:line="600" w:lineRule="exact"/>
        <w:ind w:leftChars="0" w:right="0" w:rightChars="0" w:firstLine="643" w:firstLineChars="200"/>
        <w:jc w:val="both"/>
        <w:textAlignment w:val="auto"/>
        <w:outlineLvl w:val="9"/>
        <w:rPr>
          <w:rFonts w:hint="eastAsia" w:ascii="仿宋_GB2312" w:eastAsia="仿宋_GB2312"/>
          <w:b/>
          <w:bCs/>
          <w:sz w:val="32"/>
          <w:szCs w:val="32"/>
        </w:rPr>
      </w:pPr>
      <w:r>
        <w:rPr>
          <w:rFonts w:hint="eastAsia" w:ascii="仿宋_GB2312" w:eastAsia="仿宋_GB2312"/>
          <w:b/>
          <w:bCs/>
          <w:sz w:val="32"/>
          <w:szCs w:val="32"/>
          <w:lang w:eastAsia="zh-CN"/>
        </w:rPr>
        <w:t>二、</w:t>
      </w:r>
      <w:r>
        <w:rPr>
          <w:rFonts w:hint="eastAsia" w:ascii="仿宋_GB2312" w:eastAsia="仿宋_GB2312"/>
          <w:b/>
          <w:bCs/>
          <w:sz w:val="32"/>
          <w:szCs w:val="32"/>
        </w:rPr>
        <w:t>绩效表现</w:t>
      </w:r>
    </w:p>
    <w:p>
      <w:pPr>
        <w:keepNext w:val="0"/>
        <w:keepLines w:val="0"/>
        <w:pageBreakBefore w:val="0"/>
        <w:widowControl w:val="0"/>
        <w:numPr>
          <w:ilvl w:val="0"/>
          <w:numId w:val="0"/>
        </w:numPr>
        <w:tabs>
          <w:tab w:val="left" w:pos="780"/>
        </w:tabs>
        <w:kinsoku/>
        <w:wordWrap/>
        <w:overflowPunct/>
        <w:topLinePunct w:val="0"/>
        <w:autoSpaceDE/>
        <w:autoSpaceDN/>
        <w:bidi w:val="0"/>
        <w:adjustRightInd/>
        <w:snapToGrid/>
        <w:spacing w:line="600" w:lineRule="exact"/>
        <w:ind w:leftChars="0" w:right="0" w:rightChars="0" w:firstLine="640" w:firstLineChars="200"/>
        <w:jc w:val="both"/>
        <w:textAlignment w:val="auto"/>
        <w:outlineLvl w:val="9"/>
        <w:rPr>
          <w:rFonts w:hint="eastAsia" w:ascii="仿宋_GB2312" w:eastAsia="仿宋_GB2312"/>
          <w:b w:val="0"/>
          <w:bCs w:val="0"/>
          <w:sz w:val="32"/>
          <w:szCs w:val="32"/>
        </w:rPr>
      </w:pPr>
      <w:r>
        <w:rPr>
          <w:rFonts w:hint="eastAsia" w:ascii="仿宋_GB2312" w:eastAsia="仿宋_GB2312"/>
          <w:b w:val="0"/>
          <w:bCs w:val="0"/>
          <w:sz w:val="32"/>
          <w:szCs w:val="32"/>
          <w:lang w:eastAsia="zh-CN"/>
        </w:rPr>
        <w:t>（一）</w:t>
      </w:r>
      <w:r>
        <w:rPr>
          <w:rFonts w:hint="eastAsia" w:ascii="仿宋_GB2312" w:eastAsia="仿宋_GB2312"/>
          <w:b w:val="0"/>
          <w:bCs w:val="0"/>
          <w:sz w:val="32"/>
          <w:szCs w:val="32"/>
        </w:rPr>
        <w:t>项目资金使用及管理情况</w:t>
      </w:r>
    </w:p>
    <w:p>
      <w:pPr>
        <w:keepNext w:val="0"/>
        <w:keepLines w:val="0"/>
        <w:pageBreakBefore w:val="0"/>
        <w:widowControl w:val="0"/>
        <w:tabs>
          <w:tab w:val="left" w:pos="780"/>
        </w:tabs>
        <w:kinsoku/>
        <w:wordWrap/>
        <w:overflowPunct/>
        <w:topLinePunct w:val="0"/>
        <w:autoSpaceDE/>
        <w:autoSpaceDN/>
        <w:bidi w:val="0"/>
        <w:adjustRightInd/>
        <w:snapToGrid/>
        <w:spacing w:line="600" w:lineRule="exact"/>
        <w:ind w:right="0" w:rightChars="0" w:firstLine="630"/>
        <w:jc w:val="both"/>
        <w:textAlignment w:val="auto"/>
        <w:outlineLvl w:val="9"/>
        <w:rPr>
          <w:rFonts w:hint="eastAsia" w:ascii="仿宋_GB2312" w:eastAsia="仿宋_GB2312"/>
          <w:sz w:val="32"/>
          <w:szCs w:val="32"/>
        </w:rPr>
      </w:pPr>
      <w:r>
        <w:rPr>
          <w:rFonts w:hint="eastAsia" w:ascii="仿宋_GB2312" w:eastAsia="仿宋_GB2312"/>
          <w:sz w:val="32"/>
          <w:szCs w:val="32"/>
        </w:rPr>
        <w:t>本年度县财政拨款</w:t>
      </w:r>
      <w:r>
        <w:rPr>
          <w:rFonts w:hint="eastAsia" w:ascii="仿宋_GB2312" w:eastAsia="仿宋_GB2312"/>
          <w:sz w:val="32"/>
          <w:szCs w:val="32"/>
          <w:lang w:val="en-US" w:eastAsia="zh-CN"/>
        </w:rPr>
        <w:t>2000万元</w:t>
      </w:r>
      <w:r>
        <w:rPr>
          <w:rFonts w:hint="eastAsia" w:ascii="仿宋_GB2312" w:eastAsia="仿宋_GB2312"/>
          <w:sz w:val="32"/>
          <w:szCs w:val="32"/>
        </w:rPr>
        <w:t>，根据（乳府</w:t>
      </w:r>
      <w:r>
        <w:rPr>
          <w:rFonts w:hint="eastAsia" w:ascii="仿宋_GB2312" w:eastAsia="仿宋_GB2312"/>
          <w:sz w:val="32"/>
          <w:szCs w:val="32"/>
          <w:lang w:val="en-US" w:eastAsia="zh-CN"/>
        </w:rPr>
        <w:t>[</w:t>
      </w:r>
      <w:r>
        <w:rPr>
          <w:rFonts w:hint="eastAsia" w:ascii="仿宋_GB2312" w:eastAsia="仿宋_GB2312"/>
          <w:sz w:val="32"/>
          <w:szCs w:val="32"/>
        </w:rPr>
        <w:t>201</w:t>
      </w:r>
      <w:r>
        <w:rPr>
          <w:rFonts w:hint="eastAsia" w:ascii="仿宋_GB2312" w:eastAsia="仿宋_GB2312"/>
          <w:sz w:val="32"/>
          <w:szCs w:val="32"/>
          <w:lang w:val="en-US" w:eastAsia="zh-CN"/>
        </w:rPr>
        <w:t>9]18</w:t>
      </w:r>
      <w:r>
        <w:rPr>
          <w:rFonts w:hint="eastAsia" w:ascii="仿宋_GB2312" w:eastAsia="仿宋_GB2312"/>
          <w:sz w:val="32"/>
          <w:szCs w:val="32"/>
        </w:rPr>
        <w:t>号）扶持资金共计</w:t>
      </w:r>
      <w:r>
        <w:rPr>
          <w:rFonts w:hint="eastAsia" w:ascii="仿宋_GB2312" w:eastAsia="仿宋_GB2312"/>
          <w:sz w:val="32"/>
          <w:szCs w:val="32"/>
          <w:lang w:val="en-US" w:eastAsia="zh-CN"/>
        </w:rPr>
        <w:t>2000万元</w:t>
      </w:r>
      <w:r>
        <w:rPr>
          <w:rFonts w:hint="eastAsia" w:ascii="仿宋_GB2312" w:eastAsia="仿宋_GB2312"/>
          <w:sz w:val="32"/>
          <w:szCs w:val="32"/>
        </w:rPr>
        <w:t>，项目资金全部到位。资金安排见附件</w:t>
      </w:r>
      <w:r>
        <w:rPr>
          <w:rFonts w:hint="eastAsia" w:ascii="仿宋_GB2312" w:eastAsia="仿宋_GB2312"/>
          <w:sz w:val="32"/>
          <w:szCs w:val="32"/>
          <w:lang w:eastAsia="zh-CN"/>
        </w:rPr>
        <w:t>相关佐证材料。</w:t>
      </w:r>
    </w:p>
    <w:p>
      <w:pPr>
        <w:keepNext w:val="0"/>
        <w:keepLines w:val="0"/>
        <w:pageBreakBefore w:val="0"/>
        <w:widowControl w:val="0"/>
        <w:tabs>
          <w:tab w:val="left" w:pos="780"/>
        </w:tabs>
        <w:kinsoku/>
        <w:wordWrap/>
        <w:overflowPunct/>
        <w:topLinePunct w:val="0"/>
        <w:autoSpaceDE/>
        <w:autoSpaceDN/>
        <w:bidi w:val="0"/>
        <w:adjustRightInd/>
        <w:snapToGrid/>
        <w:spacing w:line="600" w:lineRule="exact"/>
        <w:ind w:right="0" w:rightChars="0" w:firstLine="630"/>
        <w:jc w:val="both"/>
        <w:textAlignment w:val="auto"/>
        <w:outlineLvl w:val="9"/>
        <w:rPr>
          <w:rFonts w:hint="eastAsia" w:ascii="仿宋_GB2312" w:eastAsia="仿宋_GB2312"/>
          <w:color w:val="auto"/>
          <w:sz w:val="32"/>
          <w:szCs w:val="32"/>
        </w:rPr>
      </w:pPr>
      <w:r>
        <w:rPr>
          <w:rFonts w:hint="eastAsia" w:ascii="仿宋_GB2312" w:eastAsia="仿宋_GB2312"/>
          <w:color w:val="auto"/>
          <w:sz w:val="32"/>
          <w:szCs w:val="32"/>
        </w:rPr>
        <w:t>按照请示文件发放。项目资金已支付完毕。</w:t>
      </w:r>
    </w:p>
    <w:p>
      <w:pPr>
        <w:keepNext w:val="0"/>
        <w:keepLines w:val="0"/>
        <w:pageBreakBefore w:val="0"/>
        <w:widowControl w:val="0"/>
        <w:numPr>
          <w:ilvl w:val="0"/>
          <w:numId w:val="0"/>
        </w:numPr>
        <w:tabs>
          <w:tab w:val="left" w:pos="780"/>
        </w:tabs>
        <w:kinsoku/>
        <w:wordWrap/>
        <w:overflowPunct/>
        <w:topLinePunct w:val="0"/>
        <w:autoSpaceDE/>
        <w:autoSpaceDN/>
        <w:bidi w:val="0"/>
        <w:adjustRightInd/>
        <w:snapToGrid/>
        <w:spacing w:line="600" w:lineRule="exact"/>
        <w:ind w:leftChars="0" w:right="0" w:rightChars="0" w:firstLine="640" w:firstLineChars="200"/>
        <w:jc w:val="both"/>
        <w:textAlignment w:val="auto"/>
        <w:outlineLvl w:val="9"/>
        <w:rPr>
          <w:rFonts w:hint="eastAsia" w:ascii="仿宋_GB2312" w:eastAsia="仿宋_GB2312"/>
          <w:b w:val="0"/>
          <w:bCs w:val="0"/>
          <w:sz w:val="32"/>
          <w:szCs w:val="32"/>
        </w:rPr>
      </w:pPr>
      <w:r>
        <w:rPr>
          <w:rFonts w:hint="eastAsia" w:ascii="仿宋_GB2312" w:eastAsia="仿宋_GB2312"/>
          <w:b w:val="0"/>
          <w:bCs w:val="0"/>
          <w:sz w:val="32"/>
          <w:szCs w:val="32"/>
          <w:lang w:eastAsia="zh-CN"/>
        </w:rPr>
        <w:t>（二）</w:t>
      </w:r>
      <w:r>
        <w:rPr>
          <w:rFonts w:hint="eastAsia" w:ascii="仿宋_GB2312" w:eastAsia="仿宋_GB2312"/>
          <w:b w:val="0"/>
          <w:bCs w:val="0"/>
          <w:sz w:val="32"/>
          <w:szCs w:val="32"/>
        </w:rPr>
        <w:t>项目绩效情况</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rPr>
        <w:t>项目经济性：</w:t>
      </w:r>
      <w:r>
        <w:rPr>
          <w:rFonts w:hint="eastAsia" w:ascii="仿宋_GB2312" w:eastAsia="仿宋_GB2312"/>
          <w:sz w:val="32"/>
          <w:szCs w:val="32"/>
          <w:highlight w:val="none"/>
        </w:rPr>
        <w:t>此项目在20</w:t>
      </w:r>
      <w:r>
        <w:rPr>
          <w:rFonts w:hint="eastAsia" w:ascii="仿宋_GB2312" w:eastAsia="仿宋_GB2312"/>
          <w:sz w:val="32"/>
          <w:szCs w:val="32"/>
          <w:highlight w:val="none"/>
          <w:lang w:val="en-US" w:eastAsia="zh-CN"/>
        </w:rPr>
        <w:t>23</w:t>
      </w:r>
      <w:r>
        <w:rPr>
          <w:rFonts w:hint="eastAsia" w:ascii="仿宋_GB2312" w:eastAsia="仿宋_GB2312"/>
          <w:sz w:val="32"/>
          <w:szCs w:val="32"/>
          <w:highlight w:val="none"/>
        </w:rPr>
        <w:t>年度县财政拨款</w:t>
      </w:r>
      <w:r>
        <w:rPr>
          <w:rFonts w:hint="eastAsia" w:ascii="仿宋_GB2312" w:eastAsia="仿宋_GB2312"/>
          <w:sz w:val="32"/>
          <w:szCs w:val="32"/>
          <w:highlight w:val="none"/>
          <w:lang w:val="en-US" w:eastAsia="zh-CN"/>
        </w:rPr>
        <w:t>2000万元</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其中：</w:t>
      </w:r>
      <w:r>
        <w:rPr>
          <w:rFonts w:hint="eastAsia" w:ascii="仿宋_GB2312" w:eastAsia="仿宋_GB2312"/>
          <w:sz w:val="32"/>
          <w:szCs w:val="32"/>
          <w:lang w:val="en-US" w:eastAsia="zh-CN"/>
        </w:rPr>
        <w:t>1.乳源瑶族自治县推动制造业高质量发展政策措施十条（试行）政策奖补资金（25家次）4045839元；2.联动湾区.智造乳源推动制造业高质量发展产业对接会服务（1家）1051984.4元；共计5097823.4元。3</w:t>
      </w:r>
      <w:r>
        <w:rPr>
          <w:rFonts w:hint="eastAsia" w:ascii="仿宋_GB2312" w:eastAsia="仿宋_GB2312"/>
          <w:sz w:val="32"/>
          <w:szCs w:val="32"/>
        </w:rPr>
        <w:t>.东鹏饮料营销（广东）有限公司2023年1-3月财政扶持奖励资金（1家）</w:t>
      </w:r>
      <w:r>
        <w:rPr>
          <w:rFonts w:hint="eastAsia" w:ascii="仿宋_GB2312" w:eastAsia="仿宋_GB2312"/>
          <w:sz w:val="32"/>
          <w:szCs w:val="32"/>
          <w:lang w:val="en-US" w:eastAsia="zh-CN"/>
        </w:rPr>
        <w:t>245.8446万</w:t>
      </w:r>
      <w:r>
        <w:rPr>
          <w:rFonts w:hint="eastAsia" w:ascii="仿宋_GB2312" w:eastAsia="仿宋_GB2312"/>
          <w:sz w:val="32"/>
          <w:szCs w:val="32"/>
        </w:rPr>
        <w:t>元</w:t>
      </w:r>
      <w:r>
        <w:rPr>
          <w:rFonts w:hint="eastAsia" w:ascii="仿宋_GB2312" w:eastAsia="仿宋_GB2312"/>
          <w:sz w:val="32"/>
          <w:szCs w:val="32"/>
          <w:lang w:eastAsia="zh-CN"/>
        </w:rPr>
        <w:t>；</w:t>
      </w:r>
      <w:r>
        <w:rPr>
          <w:rFonts w:hint="eastAsia" w:ascii="仿宋_GB2312" w:eastAsia="仿宋_GB2312"/>
          <w:sz w:val="32"/>
          <w:szCs w:val="32"/>
          <w:lang w:val="en-US" w:eastAsia="zh-CN"/>
        </w:rPr>
        <w:t>4</w:t>
      </w:r>
      <w:r>
        <w:rPr>
          <w:rFonts w:hint="eastAsia" w:ascii="仿宋_GB2312" w:eastAsia="仿宋_GB2312"/>
          <w:sz w:val="32"/>
          <w:szCs w:val="32"/>
        </w:rPr>
        <w:t>.东鹏饮料营销（广东）有限公司2023年4-6月财政扶持奖励资金（1家）</w:t>
      </w:r>
      <w:r>
        <w:rPr>
          <w:rFonts w:hint="eastAsia" w:ascii="仿宋_GB2312" w:eastAsia="仿宋_GB2312"/>
          <w:sz w:val="32"/>
          <w:szCs w:val="32"/>
          <w:lang w:val="en-US" w:eastAsia="zh-CN"/>
        </w:rPr>
        <w:t>534.9749万</w:t>
      </w:r>
      <w:r>
        <w:rPr>
          <w:rFonts w:hint="eastAsia" w:ascii="仿宋_GB2312" w:eastAsia="仿宋_GB2312"/>
          <w:sz w:val="32"/>
          <w:szCs w:val="32"/>
        </w:rPr>
        <w:t>元</w:t>
      </w:r>
      <w:r>
        <w:rPr>
          <w:rFonts w:hint="eastAsia" w:ascii="仿宋_GB2312" w:eastAsia="仿宋_GB2312"/>
          <w:sz w:val="32"/>
          <w:szCs w:val="32"/>
          <w:lang w:eastAsia="zh-CN"/>
        </w:rPr>
        <w:t>；</w:t>
      </w:r>
      <w:r>
        <w:rPr>
          <w:rFonts w:hint="eastAsia" w:ascii="仿宋_GB2312" w:eastAsia="仿宋_GB2312"/>
          <w:sz w:val="32"/>
          <w:szCs w:val="32"/>
          <w:lang w:val="en-US" w:eastAsia="zh-CN"/>
        </w:rPr>
        <w:t>5</w:t>
      </w:r>
      <w:r>
        <w:rPr>
          <w:rFonts w:hint="eastAsia" w:ascii="仿宋_GB2312" w:eastAsia="仿宋_GB2312"/>
          <w:sz w:val="32"/>
          <w:szCs w:val="32"/>
        </w:rPr>
        <w:t>.乳源瑶族自治县辉祺企业管理有限公司引荐的韶关市广裕服务有限公司（1家）</w:t>
      </w:r>
      <w:r>
        <w:rPr>
          <w:rFonts w:hint="eastAsia" w:ascii="仿宋_GB2312" w:eastAsia="仿宋_GB2312"/>
          <w:sz w:val="32"/>
          <w:szCs w:val="32"/>
          <w:lang w:val="en-US" w:eastAsia="zh-CN"/>
        </w:rPr>
        <w:t>11.46万元；6</w:t>
      </w:r>
      <w:r>
        <w:rPr>
          <w:rFonts w:hint="eastAsia" w:ascii="仿宋_GB2312" w:eastAsia="仿宋_GB2312"/>
          <w:sz w:val="32"/>
          <w:szCs w:val="32"/>
        </w:rPr>
        <w:t>.广东欧珀与维沃通信旗下代理公司2022年4-6月财政扶持资金（尾款）（18家）县级财</w:t>
      </w:r>
      <w:r>
        <w:rPr>
          <w:rFonts w:hint="eastAsia" w:ascii="仿宋_GB2312" w:eastAsia="仿宋_GB2312"/>
          <w:sz w:val="32"/>
          <w:szCs w:val="32"/>
          <w:lang w:val="en-US" w:eastAsia="zh-CN"/>
        </w:rPr>
        <w:t>281.2058.45万元;</w:t>
      </w:r>
      <w:r>
        <w:rPr>
          <w:rFonts w:hint="eastAsia" w:ascii="仿宋_GB2312" w:hAnsi="仿宋_GB2312" w:eastAsia="仿宋_GB2312"/>
          <w:sz w:val="32"/>
          <w:szCs w:val="32"/>
        </w:rPr>
        <w:t xml:space="preserve">  </w:t>
      </w:r>
      <w:r>
        <w:rPr>
          <w:rFonts w:hint="eastAsia" w:ascii="仿宋_GB2312" w:hAnsi="仿宋_GB2312" w:eastAsia="仿宋_GB2312"/>
          <w:sz w:val="32"/>
          <w:szCs w:val="32"/>
          <w:lang w:val="en-US" w:eastAsia="zh-CN"/>
        </w:rPr>
        <w:t>8.</w:t>
      </w:r>
      <w:r>
        <w:rPr>
          <w:rFonts w:hint="eastAsia" w:ascii="仿宋_GB2312" w:hAnsi="仿宋_GB2312" w:eastAsia="仿宋_GB2312"/>
          <w:sz w:val="32"/>
          <w:szCs w:val="32"/>
        </w:rPr>
        <w:t>支付2022年</w:t>
      </w:r>
      <w:r>
        <w:rPr>
          <w:rFonts w:hint="eastAsia" w:eastAsia="仿宋_GB2312"/>
          <w:sz w:val="32"/>
          <w:szCs w:val="32"/>
        </w:rPr>
        <w:t>入选国家第三批专精特新“小巨人”企业200</w:t>
      </w:r>
      <w:r>
        <w:rPr>
          <w:rFonts w:hint="eastAsia" w:ascii="仿宋_GB2312" w:hAnsi="仿宋_GB2312" w:eastAsia="仿宋_GB2312"/>
          <w:sz w:val="32"/>
          <w:szCs w:val="32"/>
        </w:rPr>
        <w:t>万元</w:t>
      </w:r>
      <w:r>
        <w:rPr>
          <w:rFonts w:hint="eastAsia" w:ascii="仿宋_GB2312" w:hAnsi="仿宋_GB2312" w:eastAsia="仿宋_GB2312"/>
          <w:sz w:val="32"/>
          <w:szCs w:val="32"/>
          <w:lang w:val="en-US" w:eastAsia="zh-CN"/>
        </w:rPr>
        <w:t>;9. 2022年通过高新技术企业认定的企业奖补9家共拨付165.02</w:t>
      </w:r>
      <w:r>
        <w:rPr>
          <w:rFonts w:hint="eastAsia" w:ascii="仿宋_GB2312" w:hAnsi="仿宋_GB2312" w:eastAsia="仿宋_GB2312"/>
          <w:sz w:val="32"/>
          <w:szCs w:val="32"/>
        </w:rPr>
        <w:t>万元</w:t>
      </w:r>
      <w:r>
        <w:rPr>
          <w:rFonts w:hint="eastAsia" w:ascii="仿宋_GB2312" w:hAnsi="仿宋_GB2312" w:eastAsia="仿宋_GB2312"/>
          <w:sz w:val="32"/>
          <w:szCs w:val="32"/>
          <w:lang w:val="en-US" w:eastAsia="zh-CN"/>
        </w:rPr>
        <w:t>。</w:t>
      </w:r>
    </w:p>
    <w:p>
      <w:pPr>
        <w:keepNext w:val="0"/>
        <w:keepLines w:val="0"/>
        <w:pageBreakBefore w:val="0"/>
        <w:widowControl w:val="0"/>
        <w:tabs>
          <w:tab w:val="left" w:pos="780"/>
        </w:tabs>
        <w:kinsoku/>
        <w:wordWrap/>
        <w:overflowPunct/>
        <w:topLinePunct w:val="0"/>
        <w:autoSpaceDE/>
        <w:autoSpaceDN/>
        <w:bidi w:val="0"/>
        <w:adjustRightInd/>
        <w:snapToGrid/>
        <w:spacing w:line="600" w:lineRule="exact"/>
        <w:ind w:right="0" w:rightChars="0" w:firstLine="630"/>
        <w:jc w:val="both"/>
        <w:textAlignment w:val="auto"/>
        <w:outlineLvl w:val="9"/>
        <w:rPr>
          <w:rFonts w:hint="eastAsia" w:ascii="仿宋_GB2312" w:eastAsia="仿宋_GB2312"/>
          <w:sz w:val="32"/>
          <w:szCs w:val="32"/>
        </w:rPr>
      </w:pPr>
      <w:r>
        <w:rPr>
          <w:rFonts w:hint="eastAsia" w:ascii="仿宋_GB2312" w:eastAsia="仿宋_GB2312"/>
          <w:sz w:val="32"/>
          <w:szCs w:val="32"/>
        </w:rPr>
        <w:t>项目效率性：项目实施与完成时间20</w:t>
      </w:r>
      <w:r>
        <w:rPr>
          <w:rFonts w:hint="eastAsia" w:ascii="仿宋_GB2312" w:eastAsia="仿宋_GB2312"/>
          <w:sz w:val="32"/>
          <w:szCs w:val="32"/>
          <w:lang w:val="en-US" w:eastAsia="zh-CN"/>
        </w:rPr>
        <w:t>23</w:t>
      </w:r>
      <w:r>
        <w:rPr>
          <w:rFonts w:hint="eastAsia" w:ascii="仿宋_GB2312" w:eastAsia="仿宋_GB2312"/>
          <w:sz w:val="32"/>
          <w:szCs w:val="32"/>
        </w:rPr>
        <w:t>年1</w:t>
      </w:r>
      <w:r>
        <w:rPr>
          <w:rFonts w:hint="eastAsia" w:ascii="仿宋_GB2312" w:eastAsia="仿宋_GB2312"/>
          <w:sz w:val="32"/>
          <w:szCs w:val="32"/>
          <w:lang w:val="en-US" w:eastAsia="zh-CN"/>
        </w:rPr>
        <w:t>2</w:t>
      </w:r>
      <w:r>
        <w:rPr>
          <w:rFonts w:hint="eastAsia" w:ascii="仿宋_GB2312" w:eastAsia="仿宋_GB2312"/>
          <w:sz w:val="32"/>
          <w:szCs w:val="32"/>
        </w:rPr>
        <w:t>月</w:t>
      </w:r>
      <w:r>
        <w:rPr>
          <w:rFonts w:hint="eastAsia" w:ascii="仿宋_GB2312" w:eastAsia="仿宋_GB2312"/>
          <w:sz w:val="32"/>
          <w:szCs w:val="32"/>
          <w:lang w:eastAsia="zh-CN"/>
        </w:rPr>
        <w:t>。</w:t>
      </w:r>
    </w:p>
    <w:p>
      <w:pPr>
        <w:spacing w:beforeLines="0" w:afterLines="0"/>
        <w:ind w:firstLine="640" w:firstLineChars="200"/>
        <w:jc w:val="both"/>
        <w:rPr>
          <w:rFonts w:hint="eastAsia" w:ascii="仿宋_GB2312" w:hAnsi="仿宋_GB2312" w:eastAsia="仿宋_GB2312" w:cs="仿宋_GB2312"/>
          <w:b w:val="0"/>
          <w:bCs/>
          <w:sz w:val="32"/>
          <w:szCs w:val="32"/>
          <w:lang w:val="en-US" w:eastAsia="zh-CN"/>
        </w:rPr>
      </w:pPr>
      <w:r>
        <w:rPr>
          <w:rFonts w:hint="eastAsia" w:ascii="仿宋_GB2312" w:eastAsia="仿宋_GB2312"/>
          <w:sz w:val="32"/>
          <w:szCs w:val="32"/>
        </w:rPr>
        <w:t>项目效益性：2</w:t>
      </w:r>
      <w:r>
        <w:rPr>
          <w:rFonts w:hint="eastAsia" w:ascii="仿宋_GB2312" w:eastAsia="仿宋_GB2312"/>
          <w:sz w:val="32"/>
          <w:szCs w:val="32"/>
          <w:lang w:val="en-US" w:eastAsia="zh-CN"/>
        </w:rPr>
        <w:t>023</w:t>
      </w:r>
      <w:r>
        <w:rPr>
          <w:rFonts w:hint="eastAsia" w:ascii="仿宋_GB2312" w:eastAsia="仿宋_GB2312"/>
          <w:sz w:val="32"/>
          <w:szCs w:val="32"/>
        </w:rPr>
        <w:t>年项目资金已全部落实到位，对预期项目资金落实100%完成，通过此项目实施，给我县带来的效益有：</w:t>
      </w:r>
      <w:r>
        <w:rPr>
          <w:rFonts w:hint="eastAsia" w:ascii="仿宋_GB2312" w:hAnsi="仿宋_GB2312" w:eastAsia="仿宋_GB2312" w:cs="仿宋_GB2312"/>
          <w:b w:val="0"/>
          <w:bCs/>
          <w:sz w:val="32"/>
          <w:szCs w:val="32"/>
          <w:lang w:val="en-US" w:eastAsia="zh-CN"/>
        </w:rPr>
        <w:t>2022年东阳光化成箔、硕成、尼得科、胜蓝等25家企业共实现工业总产值74亿元，提供就业岗位5150个</w:t>
      </w:r>
      <w:r>
        <w:rPr>
          <w:rFonts w:hint="eastAsia" w:ascii="仿宋_GB2312" w:hAnsi="仿宋_GB2312" w:eastAsia="仿宋_GB2312" w:cs="仿宋_GB2312"/>
          <w:b w:val="0"/>
          <w:bCs/>
          <w:sz w:val="32"/>
          <w:szCs w:val="32"/>
          <w:highlight w:val="none"/>
          <w:lang w:val="en-US" w:eastAsia="zh-CN"/>
        </w:rPr>
        <w:t>。</w:t>
      </w:r>
      <w:r>
        <w:rPr>
          <w:rFonts w:hint="eastAsia" w:ascii="仿宋_GB2312" w:eastAsia="仿宋_GB2312"/>
          <w:sz w:val="32"/>
          <w:szCs w:val="32"/>
          <w:highlight w:val="none"/>
          <w:lang w:eastAsia="zh-CN"/>
        </w:rPr>
        <w:t>东鹏饮料营销（广东）有限公司2023年1-3月财政扶持奖励资金（1家）实现销售额达8.5亿元，</w:t>
      </w:r>
      <w:r>
        <w:rPr>
          <w:rFonts w:hint="eastAsia" w:ascii="仿宋_GB2312" w:hAnsi="仿宋_GB2312" w:eastAsia="仿宋_GB2312" w:cs="仿宋_GB2312"/>
          <w:b w:val="0"/>
          <w:bCs/>
          <w:sz w:val="32"/>
          <w:szCs w:val="32"/>
          <w:lang w:val="en-US" w:eastAsia="zh-CN"/>
        </w:rPr>
        <w:t>增加县收入</w:t>
      </w:r>
      <w:r>
        <w:rPr>
          <w:rFonts w:hint="eastAsia" w:ascii="仿宋_GB2312" w:eastAsia="仿宋_GB2312"/>
          <w:sz w:val="32"/>
          <w:szCs w:val="32"/>
          <w:highlight w:val="none"/>
          <w:lang w:eastAsia="zh-CN"/>
        </w:rPr>
        <w:t>491.6892万元。东鹏饮料营销（广东）有限公司，截止</w:t>
      </w:r>
      <w:r>
        <w:rPr>
          <w:rFonts w:hint="eastAsia" w:ascii="仿宋_GB2312" w:eastAsia="仿宋_GB2312"/>
          <w:sz w:val="32"/>
          <w:szCs w:val="32"/>
          <w:highlight w:val="none"/>
          <w:lang w:val="en-US" w:eastAsia="zh-CN"/>
        </w:rPr>
        <w:t>2023年6月</w:t>
      </w:r>
      <w:r>
        <w:rPr>
          <w:rFonts w:hint="eastAsia" w:ascii="仿宋_GB2312" w:eastAsia="仿宋_GB2312"/>
          <w:sz w:val="32"/>
          <w:szCs w:val="32"/>
          <w:highlight w:val="none"/>
          <w:lang w:eastAsia="zh-CN"/>
        </w:rPr>
        <w:t>销售额达20亿元。2023年4-6月财政扶持奖励资金（1家），</w:t>
      </w:r>
      <w:r>
        <w:rPr>
          <w:rFonts w:hint="eastAsia" w:ascii="仿宋_GB2312" w:hAnsi="仿宋_GB2312" w:eastAsia="仿宋_GB2312" w:cs="仿宋_GB2312"/>
          <w:b w:val="0"/>
          <w:bCs/>
          <w:sz w:val="32"/>
          <w:szCs w:val="32"/>
          <w:lang w:val="en-US" w:eastAsia="zh-CN"/>
        </w:rPr>
        <w:t>增加县收入</w:t>
      </w:r>
      <w:r>
        <w:rPr>
          <w:rFonts w:hint="eastAsia" w:ascii="仿宋_GB2312" w:eastAsia="仿宋_GB2312"/>
          <w:sz w:val="32"/>
          <w:szCs w:val="32"/>
          <w:highlight w:val="none"/>
          <w:lang w:eastAsia="zh-CN"/>
        </w:rPr>
        <w:t>1069.9499万元。乳源瑶族自治县辉祺企业管理有限公司引</w:t>
      </w:r>
      <w:r>
        <w:rPr>
          <w:rFonts w:hint="eastAsia" w:ascii="仿宋_GB2312" w:eastAsia="仿宋_GB2312"/>
          <w:sz w:val="32"/>
          <w:szCs w:val="32"/>
          <w:lang w:eastAsia="zh-CN"/>
        </w:rPr>
        <w:t>荐的韶关市广裕服务有限公司（1家） 2021年在乳源产生地方贡献 2293476.6 元。广东欧珀与维沃通信旗下代理公司2022年4-6月财政扶持资金（尾款）（18家）县级财政1907万元，全县县级收入9709万。</w:t>
      </w:r>
      <w:r>
        <w:rPr>
          <w:rFonts w:hint="eastAsia" w:ascii="仿宋_GB2312" w:hAnsi="仿宋_GB2312" w:eastAsia="仿宋_GB2312"/>
          <w:sz w:val="32"/>
          <w:szCs w:val="32"/>
          <w:lang w:val="en-US" w:eastAsia="zh-CN"/>
        </w:rPr>
        <w:t>一是促进企业经济增收,带动企业走创新发展道路。二是建立健全鼓励原始创新、集成创新、引进消化吸收再创新的机制体制，着力提高自主创新能力，不断增强产业竞争力，重点扶持一批中小微企业开展自主研发，提高产品竞争力</w:t>
      </w:r>
      <w:r>
        <w:rPr>
          <w:rFonts w:hint="eastAsia" w:ascii="仿宋_GB2312" w:hAnsi="仿宋_GB2312" w:eastAsia="仿宋_GB2312"/>
          <w:sz w:val="32"/>
          <w:szCs w:val="32"/>
        </w:rPr>
        <w:t>实现可持续创新发展，为我县经济发展培育新的增长动力</w:t>
      </w:r>
      <w:r>
        <w:rPr>
          <w:rFonts w:hint="eastAsia" w:ascii="仿宋_GB2312" w:hAns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（三）存在问题</w:t>
      </w:r>
    </w:p>
    <w:p>
      <w:pPr>
        <w:keepNext w:val="0"/>
        <w:keepLines w:val="0"/>
        <w:pageBreakBefore w:val="0"/>
        <w:widowControl w:val="0"/>
        <w:tabs>
          <w:tab w:val="left" w:pos="780"/>
        </w:tabs>
        <w:kinsoku/>
        <w:wordWrap/>
        <w:overflowPunct/>
        <w:topLinePunct w:val="0"/>
        <w:autoSpaceDE/>
        <w:autoSpaceDN/>
        <w:bidi w:val="0"/>
        <w:adjustRightInd/>
        <w:snapToGrid/>
        <w:spacing w:line="600" w:lineRule="exact"/>
        <w:ind w:right="0" w:rightChars="0" w:firstLine="640"/>
        <w:jc w:val="both"/>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hint="eastAsia" w:ascii="黑体" w:eastAsia="黑体"/>
          <w:sz w:val="32"/>
          <w:szCs w:val="32"/>
          <w:highlight w:val="none"/>
        </w:rPr>
      </w:pPr>
      <w:r>
        <w:rPr>
          <w:rFonts w:hint="eastAsia" w:ascii="黑体" w:eastAsia="黑体"/>
          <w:sz w:val="32"/>
          <w:szCs w:val="32"/>
          <w:highlight w:val="none"/>
          <w:lang w:eastAsia="zh-CN"/>
        </w:rPr>
        <w:t>四、</w:t>
      </w:r>
      <w:r>
        <w:rPr>
          <w:rFonts w:hint="eastAsia" w:ascii="黑体" w:eastAsia="黑体"/>
          <w:sz w:val="32"/>
          <w:szCs w:val="32"/>
          <w:highlight w:val="none"/>
        </w:rPr>
        <w:t>其他需要说明的情况</w:t>
      </w:r>
    </w:p>
    <w:p>
      <w:pPr>
        <w:keepNext w:val="0"/>
        <w:keepLines w:val="0"/>
        <w:pageBreakBefore w:val="0"/>
        <w:widowControl w:val="0"/>
        <w:tabs>
          <w:tab w:val="left" w:pos="780"/>
        </w:tabs>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无</w:t>
      </w:r>
    </w:p>
    <w:p>
      <w:pPr>
        <w:keepNext w:val="0"/>
        <w:keepLines w:val="0"/>
        <w:pageBreakBefore w:val="0"/>
        <w:widowControl w:val="0"/>
        <w:tabs>
          <w:tab w:val="left" w:pos="780"/>
        </w:tabs>
        <w:kinsoku/>
        <w:wordWrap/>
        <w:overflowPunct/>
        <w:topLinePunct w:val="0"/>
        <w:autoSpaceDE/>
        <w:autoSpaceDN/>
        <w:bidi w:val="0"/>
        <w:adjustRightInd/>
        <w:snapToGrid/>
        <w:spacing w:line="600" w:lineRule="exact"/>
        <w:ind w:right="0" w:rightChars="0" w:firstLine="640"/>
        <w:jc w:val="both"/>
        <w:textAlignment w:val="auto"/>
        <w:outlineLvl w:val="9"/>
        <w:rPr>
          <w:rFonts w:hint="eastAsia" w:ascii="仿宋_GB2312" w:eastAsia="仿宋_GB2312"/>
          <w:sz w:val="32"/>
          <w:szCs w:val="32"/>
          <w:lang w:eastAsia="zh-CN"/>
        </w:rPr>
      </w:pPr>
    </w:p>
    <w:p>
      <w:pPr>
        <w:keepNext w:val="0"/>
        <w:keepLines w:val="0"/>
        <w:pageBreakBefore w:val="0"/>
        <w:widowControl w:val="0"/>
        <w:tabs>
          <w:tab w:val="left" w:pos="780"/>
        </w:tabs>
        <w:kinsoku/>
        <w:wordWrap/>
        <w:overflowPunct/>
        <w:topLinePunct w:val="0"/>
        <w:autoSpaceDE/>
        <w:autoSpaceDN/>
        <w:bidi w:val="0"/>
        <w:adjustRightInd/>
        <w:snapToGrid/>
        <w:spacing w:line="600" w:lineRule="exact"/>
        <w:ind w:right="0" w:rightChars="0"/>
        <w:jc w:val="both"/>
        <w:textAlignment w:val="auto"/>
        <w:outlineLvl w:val="9"/>
        <w:rPr>
          <w:rFonts w:hint="eastAsia" w:ascii="仿宋_GB2312" w:eastAsia="仿宋_GB2312"/>
          <w:sz w:val="32"/>
          <w:szCs w:val="32"/>
          <w:lang w:eastAsia="zh-CN"/>
        </w:rPr>
      </w:pP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5ZjliMTYyMzAwOTg3ZDAwY2M2OTA4NzRmOWQ1Njc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1682F1F"/>
    <w:rsid w:val="019E4753"/>
    <w:rsid w:val="01A87AFF"/>
    <w:rsid w:val="01ED7CB1"/>
    <w:rsid w:val="05174E3E"/>
    <w:rsid w:val="05695800"/>
    <w:rsid w:val="05BE1FE7"/>
    <w:rsid w:val="06132D61"/>
    <w:rsid w:val="08566507"/>
    <w:rsid w:val="09102B5A"/>
    <w:rsid w:val="0A293CD4"/>
    <w:rsid w:val="0AA76C64"/>
    <w:rsid w:val="0AB87005"/>
    <w:rsid w:val="0AF65D7F"/>
    <w:rsid w:val="0AFD710E"/>
    <w:rsid w:val="0B9008E6"/>
    <w:rsid w:val="0C026C8C"/>
    <w:rsid w:val="0C517711"/>
    <w:rsid w:val="0D334126"/>
    <w:rsid w:val="0D9A4AD4"/>
    <w:rsid w:val="0E082052"/>
    <w:rsid w:val="0E6354DA"/>
    <w:rsid w:val="0F3A3863"/>
    <w:rsid w:val="0FFC5A6C"/>
    <w:rsid w:val="100E76C7"/>
    <w:rsid w:val="108D4A90"/>
    <w:rsid w:val="11B83D8F"/>
    <w:rsid w:val="11DD55A3"/>
    <w:rsid w:val="120249FD"/>
    <w:rsid w:val="121F5BBC"/>
    <w:rsid w:val="125B034F"/>
    <w:rsid w:val="12EA5C06"/>
    <w:rsid w:val="13714620"/>
    <w:rsid w:val="140B464A"/>
    <w:rsid w:val="153C506B"/>
    <w:rsid w:val="156C2EC6"/>
    <w:rsid w:val="159E5049"/>
    <w:rsid w:val="17E337CB"/>
    <w:rsid w:val="185A5FEA"/>
    <w:rsid w:val="18E30965"/>
    <w:rsid w:val="19145D4E"/>
    <w:rsid w:val="1AD25EC1"/>
    <w:rsid w:val="1AD734D7"/>
    <w:rsid w:val="1B041DF3"/>
    <w:rsid w:val="1B5E2D5B"/>
    <w:rsid w:val="1BEA0FB0"/>
    <w:rsid w:val="1BED2887"/>
    <w:rsid w:val="1C00080C"/>
    <w:rsid w:val="1D0C42FA"/>
    <w:rsid w:val="1E044E10"/>
    <w:rsid w:val="1E937715"/>
    <w:rsid w:val="1EE477C0"/>
    <w:rsid w:val="1F332CA6"/>
    <w:rsid w:val="1F38206B"/>
    <w:rsid w:val="1FA86997"/>
    <w:rsid w:val="1FAE3FF8"/>
    <w:rsid w:val="1FE105C7"/>
    <w:rsid w:val="205D5201"/>
    <w:rsid w:val="20605D1D"/>
    <w:rsid w:val="21F67E7A"/>
    <w:rsid w:val="22FD1499"/>
    <w:rsid w:val="264C4886"/>
    <w:rsid w:val="26661BB3"/>
    <w:rsid w:val="26CD578F"/>
    <w:rsid w:val="279345D0"/>
    <w:rsid w:val="295E3016"/>
    <w:rsid w:val="29A053DC"/>
    <w:rsid w:val="2A0C3112"/>
    <w:rsid w:val="2A950CB9"/>
    <w:rsid w:val="2D03086E"/>
    <w:rsid w:val="2DA01795"/>
    <w:rsid w:val="2DD218DC"/>
    <w:rsid w:val="2F9A4FD5"/>
    <w:rsid w:val="306D74E0"/>
    <w:rsid w:val="33093FF2"/>
    <w:rsid w:val="33323549"/>
    <w:rsid w:val="343D21A6"/>
    <w:rsid w:val="35A3428A"/>
    <w:rsid w:val="362F3D70"/>
    <w:rsid w:val="3725246C"/>
    <w:rsid w:val="37B00CDF"/>
    <w:rsid w:val="37C24252"/>
    <w:rsid w:val="37F25055"/>
    <w:rsid w:val="38631A4F"/>
    <w:rsid w:val="39921607"/>
    <w:rsid w:val="39BF2E37"/>
    <w:rsid w:val="39C649EB"/>
    <w:rsid w:val="39F72554"/>
    <w:rsid w:val="3A3C4CAD"/>
    <w:rsid w:val="3D65451B"/>
    <w:rsid w:val="3EBE2B4C"/>
    <w:rsid w:val="3F4D3B48"/>
    <w:rsid w:val="40135981"/>
    <w:rsid w:val="405745EF"/>
    <w:rsid w:val="41656898"/>
    <w:rsid w:val="421B789E"/>
    <w:rsid w:val="424C583B"/>
    <w:rsid w:val="43234C5C"/>
    <w:rsid w:val="43F02873"/>
    <w:rsid w:val="458C4D3B"/>
    <w:rsid w:val="46096EAB"/>
    <w:rsid w:val="46237C42"/>
    <w:rsid w:val="46294484"/>
    <w:rsid w:val="468762A1"/>
    <w:rsid w:val="46AD66B5"/>
    <w:rsid w:val="46B502C1"/>
    <w:rsid w:val="46DF309E"/>
    <w:rsid w:val="4813171C"/>
    <w:rsid w:val="48401C08"/>
    <w:rsid w:val="49C05644"/>
    <w:rsid w:val="49EE7ACE"/>
    <w:rsid w:val="4A761B16"/>
    <w:rsid w:val="4A993A56"/>
    <w:rsid w:val="4BB004C3"/>
    <w:rsid w:val="4C3A1048"/>
    <w:rsid w:val="4C942727"/>
    <w:rsid w:val="4CC467C2"/>
    <w:rsid w:val="4DF660C3"/>
    <w:rsid w:val="4F7D3946"/>
    <w:rsid w:val="52302EF2"/>
    <w:rsid w:val="52512C1F"/>
    <w:rsid w:val="529610CA"/>
    <w:rsid w:val="5375086E"/>
    <w:rsid w:val="54210D44"/>
    <w:rsid w:val="55346855"/>
    <w:rsid w:val="55BA1450"/>
    <w:rsid w:val="56A31BB3"/>
    <w:rsid w:val="57030BD5"/>
    <w:rsid w:val="571050A0"/>
    <w:rsid w:val="57234DD3"/>
    <w:rsid w:val="57991C29"/>
    <w:rsid w:val="58041EAB"/>
    <w:rsid w:val="580D0BDB"/>
    <w:rsid w:val="58A67A6A"/>
    <w:rsid w:val="591C5F7E"/>
    <w:rsid w:val="59B461B6"/>
    <w:rsid w:val="59BC46C1"/>
    <w:rsid w:val="5A225816"/>
    <w:rsid w:val="5A9304C2"/>
    <w:rsid w:val="5A957D96"/>
    <w:rsid w:val="5AAE0E58"/>
    <w:rsid w:val="5B922527"/>
    <w:rsid w:val="5BB60E5B"/>
    <w:rsid w:val="5C0F5926"/>
    <w:rsid w:val="5CD91A71"/>
    <w:rsid w:val="5E437B09"/>
    <w:rsid w:val="5F116B44"/>
    <w:rsid w:val="601C6864"/>
    <w:rsid w:val="60AC408B"/>
    <w:rsid w:val="61C471B3"/>
    <w:rsid w:val="623C4F9B"/>
    <w:rsid w:val="63835ECC"/>
    <w:rsid w:val="64275682"/>
    <w:rsid w:val="64AE501E"/>
    <w:rsid w:val="64BE46C9"/>
    <w:rsid w:val="64C43DC4"/>
    <w:rsid w:val="6534696E"/>
    <w:rsid w:val="658F77B8"/>
    <w:rsid w:val="673D5A3D"/>
    <w:rsid w:val="67A73C96"/>
    <w:rsid w:val="68FC5484"/>
    <w:rsid w:val="69990F25"/>
    <w:rsid w:val="69BB24E1"/>
    <w:rsid w:val="6AAC3293"/>
    <w:rsid w:val="6AD42215"/>
    <w:rsid w:val="6BA57698"/>
    <w:rsid w:val="6CB542C8"/>
    <w:rsid w:val="6D464F20"/>
    <w:rsid w:val="6DB30807"/>
    <w:rsid w:val="6DBD5434"/>
    <w:rsid w:val="6F2B21A1"/>
    <w:rsid w:val="70D25448"/>
    <w:rsid w:val="72E3289C"/>
    <w:rsid w:val="733C304D"/>
    <w:rsid w:val="738A6EBD"/>
    <w:rsid w:val="738B7B30"/>
    <w:rsid w:val="7399526E"/>
    <w:rsid w:val="73C66DBA"/>
    <w:rsid w:val="747D4339"/>
    <w:rsid w:val="74F50176"/>
    <w:rsid w:val="751678CE"/>
    <w:rsid w:val="75267B11"/>
    <w:rsid w:val="75703482"/>
    <w:rsid w:val="77CD6969"/>
    <w:rsid w:val="787965FC"/>
    <w:rsid w:val="78D648E1"/>
    <w:rsid w:val="794C5FB4"/>
    <w:rsid w:val="7AA0650C"/>
    <w:rsid w:val="7B90271A"/>
    <w:rsid w:val="7C72188D"/>
    <w:rsid w:val="7D4E22FA"/>
    <w:rsid w:val="7D570DB1"/>
    <w:rsid w:val="7E0E3838"/>
    <w:rsid w:val="7F190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sz w:val="24"/>
      <w:szCs w:val="20"/>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sz w:val="18"/>
      <w:szCs w:val="18"/>
    </w:rPr>
  </w:style>
  <w:style w:type="character" w:customStyle="1" w:styleId="8">
    <w:name w:val="页脚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8</TotalTime>
  <ScaleCrop>false</ScaleCrop>
  <LinksUpToDate>false</LinksUpToDate>
  <CharactersWithSpaces>270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2024-04-22T03:39:42Z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KSOSaveFontToCloudKey">
    <vt:lpwstr>261920957_btnclosed</vt:lpwstr>
  </property>
  <property fmtid="{D5CDD505-2E9C-101B-9397-08002B2CF9AE}" pid="4" name="ICV">
    <vt:lpwstr>B944B11BF6EC42779DD6A8FDE780885D_13</vt:lpwstr>
  </property>
</Properties>
</file>